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2C" w:rsidRDefault="00707FCA" w:rsidP="00017B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залікових питань</w:t>
      </w:r>
    </w:p>
    <w:p w:rsidR="00707FCA" w:rsidRPr="00017B2C" w:rsidRDefault="00707FCA" w:rsidP="00017B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5B79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5B79">
        <w:rPr>
          <w:sz w:val="28"/>
          <w:szCs w:val="28"/>
        </w:rPr>
        <w:t xml:space="preserve">Риторика як наука і навчальна дисципліна. Основні поняття </w:t>
      </w:r>
      <w:r>
        <w:rPr>
          <w:sz w:val="28"/>
          <w:szCs w:val="28"/>
        </w:rPr>
        <w:t xml:space="preserve">та </w:t>
      </w:r>
      <w:r w:rsidR="00017B2C">
        <w:rPr>
          <w:sz w:val="28"/>
          <w:szCs w:val="28"/>
        </w:rPr>
        <w:t>терміни</w:t>
      </w:r>
      <w:r>
        <w:rPr>
          <w:sz w:val="28"/>
          <w:szCs w:val="28"/>
        </w:rPr>
        <w:t xml:space="preserve"> </w:t>
      </w:r>
      <w:r w:rsidRPr="00915B79">
        <w:rPr>
          <w:sz w:val="28"/>
          <w:szCs w:val="28"/>
        </w:rPr>
        <w:t>класичної риторики</w:t>
      </w:r>
      <w:r>
        <w:rPr>
          <w:sz w:val="28"/>
          <w:szCs w:val="28"/>
        </w:rPr>
        <w:t>.</w:t>
      </w:r>
      <w:r w:rsidR="001D5A44">
        <w:rPr>
          <w:sz w:val="28"/>
          <w:szCs w:val="28"/>
        </w:rPr>
        <w:t xml:space="preserve"> Завдання риторики.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5B79">
        <w:rPr>
          <w:sz w:val="28"/>
          <w:szCs w:val="28"/>
        </w:rPr>
        <w:t xml:space="preserve"> </w:t>
      </w:r>
      <w:r>
        <w:rPr>
          <w:sz w:val="28"/>
          <w:szCs w:val="28"/>
        </w:rPr>
        <w:t>Зв'язок риторики з іншими науками.</w:t>
      </w:r>
      <w:r w:rsidR="00D9708F">
        <w:rPr>
          <w:sz w:val="28"/>
          <w:szCs w:val="28"/>
        </w:rPr>
        <w:t xml:space="preserve"> Риторика та стилістика.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Ораторське мистецтво у Стародавній Греції. Внесок ораторів </w:t>
      </w:r>
      <w:r w:rsidR="00381106">
        <w:rPr>
          <w:sz w:val="28"/>
          <w:szCs w:val="28"/>
        </w:rPr>
        <w:t>Греції у розвиток красномовства</w:t>
      </w:r>
      <w:r w:rsidR="001D5A44">
        <w:rPr>
          <w:sz w:val="28"/>
          <w:szCs w:val="28"/>
        </w:rPr>
        <w:t>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Pr="001D5A44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5B79">
        <w:rPr>
          <w:sz w:val="28"/>
          <w:szCs w:val="28"/>
        </w:rPr>
        <w:t>Функції</w:t>
      </w:r>
      <w:r w:rsidR="00F80D04">
        <w:rPr>
          <w:sz w:val="28"/>
          <w:szCs w:val="28"/>
        </w:rPr>
        <w:t xml:space="preserve"> та особливості </w:t>
      </w:r>
      <w:r w:rsidRPr="00915B79">
        <w:rPr>
          <w:sz w:val="28"/>
          <w:szCs w:val="28"/>
        </w:rPr>
        <w:t xml:space="preserve"> риторики у Стародавньому Римі. </w:t>
      </w:r>
      <w:r w:rsidRPr="001D5A44">
        <w:rPr>
          <w:sz w:val="28"/>
          <w:szCs w:val="28"/>
        </w:rPr>
        <w:t>Видатні оратори Стародавнього Риму</w:t>
      </w:r>
      <w:r w:rsidR="00F80D04" w:rsidRPr="001D5A44">
        <w:rPr>
          <w:sz w:val="28"/>
          <w:szCs w:val="28"/>
        </w:rPr>
        <w:t xml:space="preserve"> та їх внесок у красномовство</w:t>
      </w:r>
      <w:r w:rsidRPr="001D5A44">
        <w:rPr>
          <w:sz w:val="28"/>
          <w:szCs w:val="28"/>
        </w:rPr>
        <w:t>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Ораторське мистецтво в Середні віки.</w:t>
      </w:r>
      <w:r w:rsidR="001D5A44">
        <w:rPr>
          <w:sz w:val="28"/>
          <w:szCs w:val="28"/>
        </w:rPr>
        <w:t xml:space="preserve"> Гомілетика. Церковне красномовство.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915B79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Витоки давньоукраїнського красномовства.</w:t>
      </w:r>
      <w:r w:rsidRPr="00915B79">
        <w:rPr>
          <w:sz w:val="28"/>
          <w:szCs w:val="28"/>
        </w:rPr>
        <w:t xml:space="preserve"> Словесна культура Київської Русі.</w:t>
      </w:r>
      <w:r w:rsidR="001D5A44">
        <w:rPr>
          <w:sz w:val="28"/>
          <w:szCs w:val="28"/>
        </w:rPr>
        <w:t xml:space="preserve"> Урочисте красномовство.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017B2C" w:rsidRPr="00017B2C" w:rsidRDefault="00017B2C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5B79">
        <w:rPr>
          <w:sz w:val="28"/>
          <w:szCs w:val="28"/>
        </w:rPr>
        <w:t>Риторика в Києво-Могилянській академії.</w:t>
      </w:r>
      <w:r w:rsidR="00C72733">
        <w:rPr>
          <w:sz w:val="28"/>
          <w:szCs w:val="28"/>
        </w:rPr>
        <w:t xml:space="preserve"> Принципи складання проповідей.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017B2C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15B79" w:rsidRPr="00915B79">
        <w:rPr>
          <w:sz w:val="28"/>
          <w:szCs w:val="28"/>
        </w:rPr>
        <w:t xml:space="preserve">арактерні риси </w:t>
      </w:r>
      <w:r w:rsidR="00915B79">
        <w:rPr>
          <w:sz w:val="28"/>
          <w:szCs w:val="28"/>
        </w:rPr>
        <w:t>ораторського мистецтва в</w:t>
      </w:r>
      <w:r>
        <w:rPr>
          <w:sz w:val="28"/>
          <w:szCs w:val="28"/>
        </w:rPr>
        <w:t xml:space="preserve"> сучасній</w:t>
      </w:r>
      <w:r w:rsidR="00915B79">
        <w:rPr>
          <w:sz w:val="28"/>
          <w:szCs w:val="28"/>
        </w:rPr>
        <w:t xml:space="preserve"> Україні</w:t>
      </w:r>
      <w:r w:rsidR="00915B79" w:rsidRPr="00915B79">
        <w:rPr>
          <w:sz w:val="28"/>
          <w:szCs w:val="28"/>
        </w:rPr>
        <w:t xml:space="preserve">. </w:t>
      </w:r>
      <w:r w:rsidR="00C72733">
        <w:rPr>
          <w:sz w:val="28"/>
          <w:szCs w:val="28"/>
        </w:rPr>
        <w:t xml:space="preserve">Вимоги до проведення </w:t>
      </w:r>
      <w:r w:rsidR="00381106">
        <w:rPr>
          <w:sz w:val="28"/>
          <w:szCs w:val="28"/>
        </w:rPr>
        <w:t>дискусії</w:t>
      </w:r>
      <w:r w:rsidR="00C72733">
        <w:rPr>
          <w:sz w:val="28"/>
          <w:szCs w:val="28"/>
        </w:rPr>
        <w:t>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Pr="00915B79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основних законів риторики.</w:t>
      </w:r>
      <w:r w:rsidR="00D9708F">
        <w:rPr>
          <w:sz w:val="28"/>
          <w:szCs w:val="28"/>
        </w:rPr>
        <w:t xml:space="preserve"> Мовленнєвий закон.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P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0D04">
        <w:rPr>
          <w:sz w:val="28"/>
          <w:szCs w:val="28"/>
        </w:rPr>
        <w:t>Основні роди, види і жанри красномовства.</w:t>
      </w:r>
      <w:r w:rsidR="00D9708F">
        <w:rPr>
          <w:sz w:val="28"/>
          <w:szCs w:val="28"/>
        </w:rPr>
        <w:t xml:space="preserve">  </w:t>
      </w:r>
      <w:proofErr w:type="spellStart"/>
      <w:r w:rsidR="00D9708F">
        <w:rPr>
          <w:sz w:val="28"/>
          <w:szCs w:val="28"/>
        </w:rPr>
        <w:t>Епідейктична</w:t>
      </w:r>
      <w:proofErr w:type="spellEnd"/>
      <w:r w:rsidR="00D9708F">
        <w:rPr>
          <w:sz w:val="28"/>
          <w:szCs w:val="28"/>
        </w:rPr>
        <w:t xml:space="preserve"> промова</w:t>
      </w:r>
      <w:r w:rsidR="00124A45">
        <w:rPr>
          <w:sz w:val="28"/>
          <w:szCs w:val="28"/>
        </w:rPr>
        <w:t>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915B79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Академічне красномовство: його структура та мовні ознаки.</w:t>
      </w:r>
      <w:r w:rsidR="009B721C">
        <w:rPr>
          <w:sz w:val="28"/>
          <w:szCs w:val="28"/>
        </w:rPr>
        <w:t xml:space="preserve"> Наукова доповідь.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Характерні риси політичного красномовства.</w:t>
      </w:r>
      <w:r w:rsidR="009B721C">
        <w:rPr>
          <w:sz w:val="28"/>
          <w:szCs w:val="28"/>
        </w:rPr>
        <w:t xml:space="preserve"> Політична промова.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судового красномовства.</w:t>
      </w:r>
      <w:r w:rsidR="009B721C">
        <w:rPr>
          <w:sz w:val="28"/>
          <w:szCs w:val="28"/>
        </w:rPr>
        <w:t xml:space="preserve"> </w:t>
      </w:r>
      <w:r w:rsidR="00C72733">
        <w:rPr>
          <w:sz w:val="28"/>
          <w:szCs w:val="28"/>
        </w:rPr>
        <w:t>Вимоги до агітаційної промови</w:t>
      </w:r>
      <w:r w:rsidR="009B721C">
        <w:rPr>
          <w:sz w:val="28"/>
          <w:szCs w:val="28"/>
        </w:rPr>
        <w:t>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Суспільно-побутове красномовство та сфера його застосування.</w:t>
      </w:r>
      <w:r w:rsidR="009B721C">
        <w:rPr>
          <w:sz w:val="28"/>
          <w:szCs w:val="28"/>
        </w:rPr>
        <w:t xml:space="preserve"> </w:t>
      </w:r>
      <w:r w:rsidR="009B721C">
        <w:rPr>
          <w:sz w:val="28"/>
          <w:szCs w:val="28"/>
        </w:rPr>
        <w:lastRenderedPageBreak/>
        <w:t>Ювілейна промова.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Типи промов за знаковим оформленням та закріпленням.</w:t>
      </w:r>
      <w:r w:rsidR="00D9708F">
        <w:rPr>
          <w:sz w:val="28"/>
          <w:szCs w:val="28"/>
        </w:rPr>
        <w:t xml:space="preserve"> Імпровізовані промови.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підготовки промов.</w:t>
      </w:r>
      <w:r w:rsidR="009B721C">
        <w:rPr>
          <w:sz w:val="28"/>
          <w:szCs w:val="28"/>
        </w:rPr>
        <w:t xml:space="preserve"> </w:t>
      </w:r>
      <w:r w:rsidR="006B159A">
        <w:rPr>
          <w:sz w:val="28"/>
          <w:szCs w:val="28"/>
        </w:rPr>
        <w:t>Промова як дослідження</w:t>
      </w:r>
      <w:r w:rsidR="009B721C">
        <w:rPr>
          <w:sz w:val="28"/>
          <w:szCs w:val="28"/>
        </w:rPr>
        <w:t>.</w:t>
      </w:r>
      <w:r w:rsidR="006B159A">
        <w:rPr>
          <w:sz w:val="28"/>
          <w:szCs w:val="28"/>
        </w:rPr>
        <w:t xml:space="preserve">  Вибір теми</w:t>
      </w:r>
      <w:r w:rsidR="009B721C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6B159A" w:rsidRPr="006B159A" w:rsidRDefault="006B159A" w:rsidP="006B15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Етапи підготовки промов. Складання плану. Запис промови. Риторичний аналіз підготовленої промови.</w:t>
      </w:r>
    </w:p>
    <w:p w:rsidR="00F80D04" w:rsidRDefault="00F80D04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ораторського твору.</w:t>
      </w:r>
      <w:r w:rsidR="009B721C">
        <w:rPr>
          <w:sz w:val="28"/>
          <w:szCs w:val="28"/>
        </w:rPr>
        <w:t xml:space="preserve"> Зацікавлення</w:t>
      </w:r>
      <w:r w:rsidR="00D9708F">
        <w:rPr>
          <w:sz w:val="28"/>
          <w:szCs w:val="28"/>
        </w:rPr>
        <w:t xml:space="preserve">, опис, переконання. </w:t>
      </w:r>
      <w:r w:rsidR="009B721C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F80D04" w:rsidRDefault="00EE0185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Елокуція</w:t>
      </w:r>
      <w:proofErr w:type="spellEnd"/>
      <w:r>
        <w:rPr>
          <w:sz w:val="28"/>
          <w:szCs w:val="28"/>
        </w:rPr>
        <w:t>. Мова і стиль публічної промови.</w:t>
      </w:r>
      <w:r w:rsidR="00D9708F">
        <w:rPr>
          <w:sz w:val="28"/>
          <w:szCs w:val="28"/>
        </w:rPr>
        <w:t xml:space="preserve"> Етикетні формули.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6B159A" w:rsidRPr="006B159A" w:rsidRDefault="006B159A" w:rsidP="006B15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Логічні та емоційні засади промови. Види логічних помилок.</w:t>
      </w:r>
      <w:r w:rsidRPr="006B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Риторичний аналіз підготовленої промови. </w:t>
      </w:r>
    </w:p>
    <w:p w:rsidR="00EE0185" w:rsidRDefault="00EE0185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Зовнішня культура оратора. Мовленнєвий етикет</w:t>
      </w:r>
      <w:r w:rsidR="00D9708F">
        <w:rPr>
          <w:sz w:val="28"/>
          <w:szCs w:val="28"/>
        </w:rPr>
        <w:t>.</w:t>
      </w:r>
      <w:r w:rsidR="00124A45" w:rsidRPr="00124A45">
        <w:rPr>
          <w:sz w:val="28"/>
          <w:szCs w:val="28"/>
        </w:rPr>
        <w:t xml:space="preserve"> </w:t>
      </w:r>
      <w:r w:rsidR="00124A45">
        <w:rPr>
          <w:sz w:val="28"/>
          <w:szCs w:val="28"/>
        </w:rPr>
        <w:t>Риторичний аналіз підготовленої промови.</w:t>
      </w:r>
    </w:p>
    <w:p w:rsidR="00124A45" w:rsidRPr="009A2366" w:rsidRDefault="00124A45" w:rsidP="00124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Оратор і аудиторія. Шляхи подолання опору аудиторії.</w:t>
      </w:r>
      <w:r w:rsidRPr="00124A45">
        <w:rPr>
          <w:sz w:val="28"/>
          <w:szCs w:val="28"/>
        </w:rPr>
        <w:t xml:space="preserve"> </w:t>
      </w:r>
      <w:r>
        <w:rPr>
          <w:sz w:val="28"/>
          <w:szCs w:val="28"/>
        </w:rPr>
        <w:t>Риторичний аналіз підготовленої промови.</w:t>
      </w:r>
    </w:p>
    <w:p w:rsidR="009A2366" w:rsidRDefault="009A2366" w:rsidP="00124A45">
      <w:pPr>
        <w:pStyle w:val="a3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sz w:val="28"/>
          <w:szCs w:val="28"/>
        </w:rPr>
      </w:pPr>
    </w:p>
    <w:p w:rsidR="00C55E5D" w:rsidRPr="00EE0185" w:rsidRDefault="00C55E5D" w:rsidP="00124A45">
      <w:pPr>
        <w:ind w:firstLine="284"/>
        <w:jc w:val="both"/>
        <w:rPr>
          <w:sz w:val="28"/>
          <w:szCs w:val="28"/>
        </w:rPr>
      </w:pPr>
    </w:p>
    <w:sectPr w:rsidR="00C55E5D" w:rsidRPr="00EE0185" w:rsidSect="00C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292"/>
    <w:multiLevelType w:val="hybridMultilevel"/>
    <w:tmpl w:val="1D5C9F2A"/>
    <w:lvl w:ilvl="0" w:tplc="54F0EE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79"/>
    <w:rsid w:val="00017B2C"/>
    <w:rsid w:val="000556F5"/>
    <w:rsid w:val="00124A45"/>
    <w:rsid w:val="001D5A44"/>
    <w:rsid w:val="003247C6"/>
    <w:rsid w:val="00381106"/>
    <w:rsid w:val="006B159A"/>
    <w:rsid w:val="00707FCA"/>
    <w:rsid w:val="007A35B2"/>
    <w:rsid w:val="00816E6C"/>
    <w:rsid w:val="00881844"/>
    <w:rsid w:val="00915B79"/>
    <w:rsid w:val="009A2366"/>
    <w:rsid w:val="009B721C"/>
    <w:rsid w:val="00A21BAD"/>
    <w:rsid w:val="00A90F64"/>
    <w:rsid w:val="00B3495C"/>
    <w:rsid w:val="00C55E5D"/>
    <w:rsid w:val="00C72733"/>
    <w:rsid w:val="00D87910"/>
    <w:rsid w:val="00D9708F"/>
    <w:rsid w:val="00DF31CD"/>
    <w:rsid w:val="00EB27F5"/>
    <w:rsid w:val="00EE0185"/>
    <w:rsid w:val="00F6345B"/>
    <w:rsid w:val="00F80D04"/>
    <w:rsid w:val="00FA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79"/>
    <w:pPr>
      <w:ind w:left="720"/>
      <w:contextualSpacing/>
    </w:pPr>
  </w:style>
  <w:style w:type="paragraph" w:styleId="2">
    <w:name w:val="Body Text 2"/>
    <w:basedOn w:val="a"/>
    <w:link w:val="20"/>
    <w:semiHidden/>
    <w:rsid w:val="009A2366"/>
    <w:pPr>
      <w:spacing w:line="360" w:lineRule="auto"/>
      <w:jc w:val="both"/>
    </w:pPr>
    <w:rPr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9A23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2017-01-24T13:07:00Z</dcterms:created>
  <dcterms:modified xsi:type="dcterms:W3CDTF">2017-01-24T13:07:00Z</dcterms:modified>
</cp:coreProperties>
</file>