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21" w:rsidRDefault="00495421" w:rsidP="00495421">
      <w:pPr>
        <w:pStyle w:val="a3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:rsidR="00495421" w:rsidRDefault="00495421" w:rsidP="00495421">
      <w:pPr>
        <w:pStyle w:val="a3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Перед вищими навчальними закладами І-ІІ рівнів акредитації поставлено завдання підготувати висококваліфікованих, грамотних, з належним інтелектуальним потенціалом спеціалістів. До майбутніх фахівців ставляться високі вимоги, які полягають не лише в досконалих знаннях фаху, а й у високому рівні володіння українською мовою, вільному користуванні нею у всіх сферах і особливо у професійній та офіційно-діловій.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Уміння спілкуватись мовою професії сприяє швидкому засвоєнню спеціальних дисциплін, підвищує ефективність праці, допомагає орієнтуватися у професійній діяльності та ділових контактах.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годин: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r w:rsidRPr="00843FF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gramStart"/>
      <w:r w:rsidRPr="00843F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Мета курсу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національно-мовну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лексикою;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495421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модул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практичного курсу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Тому велика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Робота над культурою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лексикою,</w:t>
      </w:r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істичні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аналізованих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lastRenderedPageBreak/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— </w:t>
      </w:r>
      <w:r w:rsidRPr="00843FF5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495421" w:rsidRPr="00843FF5" w:rsidRDefault="00495421" w:rsidP="0049542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3F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курсу студент повинен знати: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Значимість вивчення курсу «Українська мова за професійним спрямуванням».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стилів та жанрів сучасної української літературної мови.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Поняття «літературна мова», «мовна норма», функції мови.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умови ефективного мовленнєвого спілкування, композицію публічного виступу.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Прийоми мислення, вимоги до мовлення і мислення, як правильно читати й осмислювати прочитане.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Сутність, види, завдання етики ділового спілкування, етичні норми та нормативи.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Основні функції, рівні ділового спілкування,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міжособові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стосунки.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Мову професії, термінологію свого фаху, джерела поповнення лексики сучасної української літературної мови.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багатозначних слів, паронімів та омонімів у професійному мовленні, правила написання складноскорочених слів, абревіатур, географічних скорочень.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правила українського правопису.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Синтаксичні аспекти професійного мовлення, основні форми викладу матеріалу, структуру речень і словосполучень, труднощі узгодження підмета з присудком.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Призначення, кваліфікацію документів, вимоги до складання та оформлення різних видів документів та правила їх оформлення.</w:t>
      </w:r>
    </w:p>
    <w:p w:rsidR="00495421" w:rsidRPr="00843FF5" w:rsidRDefault="00495421" w:rsidP="0049542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b/>
          <w:sz w:val="28"/>
          <w:szCs w:val="28"/>
          <w:lang w:val="uk-UA"/>
        </w:rPr>
        <w:t>Студент повинен уміти: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регламентування спілкування, застосовувати орфоепічні та акцентологічні норми української літературної мови в усному спілкуванні, доречно використовувати моделі звертання, привітання, ввічливості. 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Володіти різними видами усного спілкування; готуватися до публічного виступу.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в тексті й доречно використовувати в мовленні власне українську та іншомовну лексику, термінологічну лексику та виробничо-професійні, науково-технічні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>; користуватися словником іншомовних слів, термінологічними словниками та довідковою літературою.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Знаходити в тексті і доречно використовувати у професійному мовленні синоніми, пароніми, омоніми; користуватися різними видами словників.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Перекладати тексти українською мовою, використовуючи термінологічні двомовні словники, електронні словники.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записувати числівники та цифрову інформацію у професійних текстах; узгоджувати числівники з іменниками.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найпоширеніші дієслівні форми у професійному спілкуванні; користуватися додатковою літературою.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вживати прийменникові конструкції у професійних текстах, перекладати прийменникові конструкції українською мовою; користуватися довідковою літературою.</w:t>
      </w:r>
    </w:p>
    <w:p w:rsidR="00495421" w:rsidRPr="00843FF5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Користуватися синтаксичними нормами у професійному спілкуванні.</w:t>
      </w:r>
    </w:p>
    <w:p w:rsidR="00495421" w:rsidRDefault="00495421" w:rsidP="0049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синтаксичні конструкції при складанні документів.</w:t>
      </w:r>
    </w:p>
    <w:p w:rsidR="00495421" w:rsidRDefault="00495421" w:rsidP="00495421">
      <w:pPr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набуде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95421" w:rsidRDefault="00495421" w:rsidP="00495421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45D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2B45D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- культурна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ерудиція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4650F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0F1">
        <w:rPr>
          <w:rFonts w:ascii="Times New Roman" w:hAnsi="Times New Roman" w:cs="Times New Roman"/>
          <w:sz w:val="28"/>
          <w:szCs w:val="28"/>
          <w:lang w:val="uk-UA"/>
        </w:rPr>
        <w:t>Розуміння сутності і соціальної значущості майбутньої професії.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0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0F1"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 w:rsidRPr="004650F1"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0F1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до норм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650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0F1">
        <w:rPr>
          <w:rFonts w:ascii="Times New Roman" w:hAnsi="Times New Roman" w:cs="Times New Roman"/>
          <w:sz w:val="28"/>
          <w:szCs w:val="28"/>
        </w:rPr>
        <w:t>іжособистісного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650F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650F1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науково-дослідними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 методами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50F1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,        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Pr="004650F1" w:rsidRDefault="00495421" w:rsidP="00495421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F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4650F1">
        <w:rPr>
          <w:rFonts w:ascii="Times New Roman" w:hAnsi="Times New Roman" w:cs="Times New Roman"/>
          <w:sz w:val="28"/>
          <w:szCs w:val="28"/>
        </w:rPr>
        <w:t>.</w:t>
      </w:r>
    </w:p>
    <w:p w:rsidR="00495421" w:rsidRDefault="00495421" w:rsidP="004954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3FF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5A0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3F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5A0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3F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A03FF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5A03FF">
        <w:rPr>
          <w:rFonts w:ascii="Times New Roman" w:hAnsi="Times New Roman" w:cs="Times New Roman"/>
          <w:sz w:val="28"/>
          <w:szCs w:val="28"/>
        </w:rPr>
        <w:t xml:space="preserve"> (ФК)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5421" w:rsidRPr="00970CD9" w:rsidRDefault="00495421" w:rsidP="004954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CD9">
        <w:rPr>
          <w:rFonts w:ascii="Times New Roman" w:hAnsi="Times New Roman" w:cs="Times New Roman"/>
          <w:sz w:val="28"/>
          <w:szCs w:val="28"/>
          <w:lang w:val="uk-UA"/>
        </w:rPr>
        <w:t>Здатність планувати, організовувати, координувати та оцінювати діяльність і взаємодію її суб’єктів.</w:t>
      </w:r>
    </w:p>
    <w:p w:rsidR="00495421" w:rsidRPr="00970CD9" w:rsidRDefault="00495421" w:rsidP="004954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CD9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базові філософські, психолого-педагогічні та методичні знання і вміння для формування ключових і предметних </w:t>
      </w:r>
      <w:proofErr w:type="spellStart"/>
      <w:r w:rsidRPr="00970CD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0C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421" w:rsidRPr="00970CD9" w:rsidRDefault="00495421" w:rsidP="004954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CD9">
        <w:rPr>
          <w:rFonts w:ascii="Times New Roman" w:hAnsi="Times New Roman" w:cs="Times New Roman"/>
          <w:sz w:val="28"/>
          <w:szCs w:val="28"/>
          <w:lang w:val="uk-UA"/>
        </w:rPr>
        <w:t>Здатність створювати умови для збереження та зміцнення фізичного і психічного (інтелектуального й емоційного) здоров’я дітей дошкільного віку.</w:t>
      </w:r>
    </w:p>
    <w:p w:rsidR="00495421" w:rsidRPr="00970CD9" w:rsidRDefault="00495421" w:rsidP="004954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>.</w:t>
      </w:r>
    </w:p>
    <w:p w:rsidR="00495421" w:rsidRPr="00970CD9" w:rsidRDefault="00495421" w:rsidP="004954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оперативно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>.</w:t>
      </w:r>
    </w:p>
    <w:p w:rsidR="00495421" w:rsidRPr="00970CD9" w:rsidRDefault="00495421" w:rsidP="004954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CD9">
        <w:rPr>
          <w:rFonts w:ascii="Times New Roman" w:hAnsi="Times New Roman" w:cs="Times New Roman"/>
          <w:sz w:val="28"/>
          <w:szCs w:val="28"/>
        </w:rPr>
        <w:lastRenderedPageBreak/>
        <w:t>Здатність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CD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70CD9">
        <w:rPr>
          <w:rFonts w:ascii="Times New Roman" w:hAnsi="Times New Roman" w:cs="Times New Roman"/>
          <w:sz w:val="28"/>
          <w:szCs w:val="28"/>
        </w:rPr>
        <w:t>.</w:t>
      </w:r>
    </w:p>
    <w:p w:rsidR="00495421" w:rsidRDefault="00495421" w:rsidP="00495421">
      <w:pPr>
        <w:pStyle w:val="a3"/>
        <w:spacing w:after="0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495421" w:rsidRPr="00D21C63" w:rsidRDefault="00495421" w:rsidP="00495421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«</w:t>
      </w:r>
      <w:r>
        <w:rPr>
          <w:rFonts w:ascii="Times New Roman" w:hAnsi="Times New Roman"/>
          <w:sz w:val="28"/>
          <w:szCs w:val="28"/>
          <w:lang w:val="uk-UA"/>
        </w:rPr>
        <w:t>Українська мова за професійним спрямуванням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семестр (</w:t>
      </w:r>
      <w:proofErr w:type="spellStart"/>
      <w:r>
        <w:rPr>
          <w:rFonts w:ascii="Times New Roman" w:hAnsi="Times New Roman"/>
          <w:sz w:val="28"/>
          <w:szCs w:val="28"/>
        </w:rPr>
        <w:t>І-й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планом на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аудиторних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них: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>
        <w:rPr>
          <w:rFonts w:ascii="Times New Roman" w:hAnsi="Times New Roman"/>
          <w:sz w:val="28"/>
          <w:szCs w:val="28"/>
        </w:rPr>
        <w:t>лекційні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6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– 48 год.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5421" w:rsidRDefault="00495421" w:rsidP="0049542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критично </w:t>
      </w:r>
      <w:proofErr w:type="spellStart"/>
      <w:r>
        <w:rPr>
          <w:rFonts w:ascii="Times New Roman" w:hAnsi="Times New Roman"/>
          <w:sz w:val="28"/>
          <w:szCs w:val="28"/>
        </w:rPr>
        <w:t>осмислювати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5421" w:rsidRDefault="00495421" w:rsidP="0049542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форма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>, за яко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студентом </w:t>
      </w:r>
      <w:proofErr w:type="spellStart"/>
      <w:r>
        <w:rPr>
          <w:rFonts w:ascii="Times New Roman" w:hAnsi="Times New Roman"/>
          <w:sz w:val="28"/>
          <w:szCs w:val="28"/>
        </w:rPr>
        <w:t>сформульованих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занять </w:t>
      </w:r>
      <w:proofErr w:type="spellStart"/>
      <w:r>
        <w:rPr>
          <w:rFonts w:ascii="Times New Roman" w:hAnsi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>
        <w:rPr>
          <w:rFonts w:ascii="Times New Roman" w:hAnsi="Times New Roman"/>
          <w:sz w:val="28"/>
          <w:szCs w:val="28"/>
        </w:rPr>
        <w:t>матеріалі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5421" w:rsidRDefault="00495421" w:rsidP="0049542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b/>
          <w:sz w:val="28"/>
          <w:szCs w:val="28"/>
        </w:rPr>
        <w:t>мінь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навикі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495421" w:rsidRPr="00A0522E" w:rsidRDefault="00495421" w:rsidP="004954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Оцінювання знань, вмінь та навиків студентів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: результат роботи студента протягом семестру (50 балів) складається з наступних компонентів:</w:t>
      </w:r>
    </w:p>
    <w:p w:rsidR="00495421" w:rsidRPr="00A0522E" w:rsidRDefault="00495421" w:rsidP="0049542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Результатів роботи під час виконання практичних занять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самостійної роботи 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б).</w:t>
      </w:r>
    </w:p>
    <w:p w:rsidR="00495421" w:rsidRPr="00A0522E" w:rsidRDefault="00495421" w:rsidP="004954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активність студента на практичному занятті та правильність його відповідей. Програмою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тя і 48 год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роботи.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За одне практичне заняття студент отримує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бали (всього 9 балів). За кожну опрацьовану тему самостійної роботи – 0,5 бала (всього - 24 бали).</w:t>
      </w:r>
      <w:r w:rsidRPr="009B6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на всіх практичних заняттях та виконання самостійної роботи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95421" w:rsidRPr="00A0522E" w:rsidRDefault="00495421" w:rsidP="0049542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Аудиторна контрольна робота (17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495421" w:rsidRDefault="00495421" w:rsidP="004954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за одну контрольну роботу –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балів. Усього з дисципліни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одну  аудиторну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кількість балів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.  Оцінюється повнота та правильність відповідей.</w:t>
      </w:r>
    </w:p>
    <w:p w:rsidR="00495421" w:rsidRPr="00A0522E" w:rsidRDefault="00495421" w:rsidP="0049542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контроль (50 балів).</w:t>
      </w:r>
    </w:p>
    <w:p w:rsidR="00495421" w:rsidRPr="00A0522E" w:rsidRDefault="00495421" w:rsidP="004954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Підсумковим контролем знань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є іспит.  Усний іспит з української мови за професійним спрямуванням  складається із трьох питань.</w:t>
      </w:r>
    </w:p>
    <w:p w:rsidR="00495421" w:rsidRPr="00A0522E" w:rsidRDefault="00495421" w:rsidP="00495421">
      <w:pPr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Перше питання 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теоретичне, потребує логічного мислення, аналізу матеріалу, який вивчався, вимагає від студента теоретичних знань з  української мови за професійним спрямуванням. </w:t>
      </w:r>
    </w:p>
    <w:p w:rsidR="00495421" w:rsidRPr="00A0522E" w:rsidRDefault="00495421" w:rsidP="00495421">
      <w:pPr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Друге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розкриття студентами понять, що вимагає глибоких знань з української мови за професійним спрямуванням. </w:t>
      </w:r>
    </w:p>
    <w:p w:rsidR="00495421" w:rsidRPr="00A0522E" w:rsidRDefault="00495421" w:rsidP="00495421">
      <w:pPr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Третє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практичне, потребує логічного мислення, аналізу матеріалу. Студенти повинні виконати практичне завдання.</w:t>
      </w:r>
    </w:p>
    <w:p w:rsidR="00495421" w:rsidRPr="00A0522E" w:rsidRDefault="00495421" w:rsidP="0049542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Студент під час іспиту може отримати 50 балів.</w:t>
      </w:r>
    </w:p>
    <w:p w:rsidR="00495421" w:rsidRPr="00A0522E" w:rsidRDefault="00495421" w:rsidP="00495421">
      <w:pPr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15 балів;  2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15 балів; 3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20 балів.</w:t>
      </w:r>
    </w:p>
    <w:p w:rsidR="00495421" w:rsidRPr="00A0522E" w:rsidRDefault="00495421" w:rsidP="00495421">
      <w:pPr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Отримані на іспиті бали додаються до кількості балів, набраних студентом протягом семестру.  Отримана сума балів виставляється у екзаменаційну відомість, журнал та залікову книжку.</w:t>
      </w:r>
    </w:p>
    <w:p w:rsidR="00495421" w:rsidRPr="00A0522E" w:rsidRDefault="00495421" w:rsidP="0049542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Отримані на іспиті бали додаються до кількості балів, набраних студентом протягом семестру.  Отримана сума балів виставляється у екзаменаційну відомість, журнал та залікову книжку.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1276"/>
        <w:gridCol w:w="567"/>
        <w:gridCol w:w="708"/>
      </w:tblGrid>
      <w:tr w:rsidR="00495421" w:rsidRPr="00A0522E" w:rsidTr="00285D41">
        <w:tc>
          <w:tcPr>
            <w:tcW w:w="8789" w:type="dxa"/>
            <w:gridSpan w:val="20"/>
          </w:tcPr>
          <w:p w:rsidR="00495421" w:rsidRPr="00A0522E" w:rsidRDefault="00495421" w:rsidP="00285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67" w:type="dxa"/>
            <w:vMerge w:val="restart"/>
          </w:tcPr>
          <w:p w:rsidR="00495421" w:rsidRDefault="00495421" w:rsidP="00285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Іс</w:t>
            </w:r>
            <w:proofErr w:type="spellEnd"/>
          </w:p>
          <w:p w:rsidR="00495421" w:rsidRPr="00A0522E" w:rsidRDefault="00495421" w:rsidP="00285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пит</w:t>
            </w:r>
            <w:proofErr w:type="spellEnd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495421" w:rsidRDefault="00495421" w:rsidP="00285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Су</w:t>
            </w:r>
          </w:p>
          <w:p w:rsidR="00495421" w:rsidRPr="00A0522E" w:rsidRDefault="00495421" w:rsidP="00285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ма</w:t>
            </w:r>
            <w:proofErr w:type="spellEnd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495421" w:rsidRPr="00A0522E" w:rsidTr="00285D41">
        <w:tc>
          <w:tcPr>
            <w:tcW w:w="8789" w:type="dxa"/>
            <w:gridSpan w:val="20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Змістовий модуль №1</w:t>
            </w:r>
          </w:p>
        </w:tc>
        <w:tc>
          <w:tcPr>
            <w:tcW w:w="567" w:type="dxa"/>
            <w:vMerge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5421" w:rsidRPr="00A0522E" w:rsidTr="00285D41"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Т2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3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4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6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8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9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10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11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12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 16 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17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18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19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Т20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21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22</w:t>
            </w:r>
          </w:p>
        </w:tc>
        <w:tc>
          <w:tcPr>
            <w:tcW w:w="1276" w:type="dxa"/>
          </w:tcPr>
          <w:p w:rsidR="00495421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567" w:type="dxa"/>
            <w:vMerge w:val="restart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708" w:type="dxa"/>
            <w:vMerge w:val="restart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  <w:tr w:rsidR="00495421" w:rsidRPr="00A0522E" w:rsidTr="00285D41"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96" w:type="dxa"/>
            <w:shd w:val="clear" w:color="auto" w:fill="auto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276" w:type="dxa"/>
          </w:tcPr>
          <w:p w:rsidR="00495421" w:rsidRPr="00A0522E" w:rsidRDefault="00495421" w:rsidP="0028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vMerge/>
          </w:tcPr>
          <w:p w:rsidR="00495421" w:rsidRPr="00A0522E" w:rsidRDefault="00495421" w:rsidP="00285D4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495421" w:rsidRPr="00A0522E" w:rsidRDefault="00495421" w:rsidP="00285D4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5421" w:rsidRDefault="00495421" w:rsidP="00495421">
      <w:pPr>
        <w:jc w:val="center"/>
        <w:rPr>
          <w:b/>
          <w:sz w:val="28"/>
          <w:szCs w:val="28"/>
          <w:lang w:val="uk-UA"/>
        </w:rPr>
      </w:pPr>
    </w:p>
    <w:p w:rsidR="00495421" w:rsidRDefault="00495421" w:rsidP="0049542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контролем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Студент на </w:t>
      </w:r>
      <w:r>
        <w:rPr>
          <w:rFonts w:ascii="Times New Roman" w:hAnsi="Times New Roman"/>
          <w:sz w:val="28"/>
          <w:szCs w:val="28"/>
          <w:lang w:val="uk-UA"/>
        </w:rPr>
        <w:t xml:space="preserve">іспиті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50.</w:t>
      </w:r>
    </w:p>
    <w:p w:rsidR="00495421" w:rsidRDefault="00495421" w:rsidP="0049542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Оцінюється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ґрунтовність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термінологією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повнота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розкриття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логіка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викладу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думок,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івень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5421" w:rsidRDefault="00495421" w:rsidP="00495421">
      <w:pPr>
        <w:pStyle w:val="a3"/>
        <w:ind w:left="0"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Набрані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семестру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набраних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5421" w:rsidRPr="00B93B68" w:rsidRDefault="00495421" w:rsidP="00495421">
      <w:pPr>
        <w:pStyle w:val="a3"/>
        <w:ind w:left="0"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421" w:rsidRDefault="00495421" w:rsidP="004954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Шкала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перерахунку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ідсумкових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оцінок</w:t>
      </w:r>
      <w:proofErr w:type="spellEnd"/>
    </w:p>
    <w:p w:rsidR="00495421" w:rsidRDefault="00495421" w:rsidP="00495421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(за результатами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семестрі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2536"/>
        <w:gridCol w:w="2977"/>
        <w:gridCol w:w="2409"/>
      </w:tblGrid>
      <w:tr w:rsidR="00495421" w:rsidTr="00285D4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балах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Визначення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заліковою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шкалою</w:t>
            </w:r>
          </w:p>
        </w:tc>
      </w:tr>
      <w:tr w:rsidR="00495421" w:rsidTr="00285D4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495421" w:rsidTr="00285D4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81-89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1" w:rsidRDefault="00495421" w:rsidP="00285D4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5421" w:rsidTr="00285D4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71-80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1" w:rsidRDefault="00495421" w:rsidP="00285D4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5421" w:rsidTr="00285D4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1" w:rsidRDefault="00495421" w:rsidP="00285D4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5421" w:rsidTr="00285D41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21" w:rsidRDefault="00495421" w:rsidP="00285D41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21" w:rsidRDefault="00495421" w:rsidP="00285D4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95421" w:rsidRPr="00B102B5" w:rsidRDefault="00495421" w:rsidP="00495421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720722" w:rsidRDefault="00720722"/>
    <w:sectPr w:rsidR="00720722" w:rsidSect="00DE29BA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7702"/>
    <w:multiLevelType w:val="singleLevel"/>
    <w:tmpl w:val="99B05A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21"/>
    <w:rsid w:val="00495421"/>
    <w:rsid w:val="0072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2018-09-04T17:19:00Z</dcterms:created>
  <dcterms:modified xsi:type="dcterms:W3CDTF">2018-09-04T17:19:00Z</dcterms:modified>
</cp:coreProperties>
</file>